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32E" w:rsidRPr="00FE2D17" w:rsidRDefault="00E7613F" w:rsidP="009F5689">
      <w:pPr>
        <w:jc w:val="center"/>
        <w:rPr>
          <w:rFonts w:ascii="Segoe Print" w:hAnsi="Segoe Print" w:cs="Gisha"/>
          <w:b/>
          <w:sz w:val="32"/>
          <w:szCs w:val="32"/>
        </w:rPr>
      </w:pPr>
      <w:r w:rsidRPr="00FE2D17">
        <w:rPr>
          <w:rFonts w:ascii="Segoe Print" w:hAnsi="Segoe Print" w:cs="Gisha"/>
          <w:b/>
          <w:sz w:val="32"/>
          <w:szCs w:val="32"/>
        </w:rPr>
        <w:t>All About Close Reading</w:t>
      </w:r>
    </w:p>
    <w:p w:rsidR="00E7613F" w:rsidRPr="00FE2D17" w:rsidRDefault="00E7613F">
      <w:pPr>
        <w:rPr>
          <w:rFonts w:ascii="Microsoft PhagsPa" w:hAnsi="Microsoft PhagsPa" w:cs="Gisha"/>
          <w:b/>
        </w:rPr>
      </w:pPr>
      <w:r w:rsidRPr="00FE2D17">
        <w:rPr>
          <w:rFonts w:ascii="Microsoft PhagsPa" w:hAnsi="Microsoft PhagsPa" w:cs="Gisha"/>
          <w:b/>
        </w:rPr>
        <w:t>What is Close Reading?</w:t>
      </w:r>
    </w:p>
    <w:p w:rsidR="00E7613F" w:rsidRPr="00FE2D17" w:rsidRDefault="00E7613F">
      <w:pPr>
        <w:rPr>
          <w:rFonts w:ascii="Microsoft PhagsPa" w:hAnsi="Microsoft PhagsPa" w:cs="Gisha"/>
        </w:rPr>
      </w:pPr>
      <w:r w:rsidRPr="00FE2D17">
        <w:rPr>
          <w:rFonts w:ascii="Microsoft PhagsPa" w:hAnsi="Microsoft PhagsPa" w:cs="Gisha"/>
        </w:rPr>
        <w:t>Close reading is simple – reading a text closely, looking at the details and discussing how those details lead you to made conclusions about the text and explain the significance of the text.  You also look at the little pieces and determine patterns or how they connect as a whole.</w:t>
      </w:r>
    </w:p>
    <w:p w:rsidR="00E7613F" w:rsidRPr="00FE2D17" w:rsidRDefault="00E7613F">
      <w:pPr>
        <w:rPr>
          <w:rFonts w:ascii="Microsoft PhagsPa" w:hAnsi="Microsoft PhagsPa" w:cs="Gisha"/>
        </w:rPr>
      </w:pPr>
      <w:r w:rsidRPr="00FE2D17">
        <w:rPr>
          <w:rFonts w:ascii="Microsoft PhagsPa" w:hAnsi="Microsoft PhagsPa" w:cs="Gisha"/>
        </w:rPr>
        <w:t>Close reading is not just a ready strategy, but it is also a writing strategy because you interact with the text through writing, such as in-text annotations and written responses.  Close reading is meant to help you gain a better understanding of a text and to provide you with the necessary textual evidence to support your understanding and interpretation.</w:t>
      </w:r>
    </w:p>
    <w:p w:rsidR="00E7613F" w:rsidRPr="00FE2D17" w:rsidRDefault="00E7613F">
      <w:pPr>
        <w:rPr>
          <w:rFonts w:ascii="Microsoft PhagsPa" w:hAnsi="Microsoft PhagsPa" w:cs="Gisha"/>
          <w:b/>
        </w:rPr>
      </w:pPr>
      <w:r w:rsidRPr="00FE2D17">
        <w:rPr>
          <w:rFonts w:ascii="Microsoft PhagsPa" w:hAnsi="Microsoft PhagsPa" w:cs="Gisha"/>
          <w:b/>
        </w:rPr>
        <w:t>Goals of Close Reading</w:t>
      </w:r>
    </w:p>
    <w:p w:rsidR="00E7613F" w:rsidRPr="00FE2D17" w:rsidRDefault="00E7613F" w:rsidP="00E7613F">
      <w:pPr>
        <w:pStyle w:val="ListParagraph"/>
        <w:numPr>
          <w:ilvl w:val="0"/>
          <w:numId w:val="1"/>
        </w:numPr>
        <w:rPr>
          <w:rFonts w:ascii="Microsoft PhagsPa" w:hAnsi="Microsoft PhagsPa" w:cs="Gisha"/>
        </w:rPr>
      </w:pPr>
      <w:r w:rsidRPr="00FE2D17">
        <w:rPr>
          <w:rFonts w:ascii="Microsoft PhagsPa" w:hAnsi="Microsoft PhagsPa" w:cs="Gisha"/>
        </w:rPr>
        <w:t>Understand the general content even if the text is difficult</w:t>
      </w:r>
    </w:p>
    <w:p w:rsidR="00E7613F" w:rsidRPr="00FE2D17" w:rsidRDefault="00E7613F" w:rsidP="00E7613F">
      <w:pPr>
        <w:pStyle w:val="ListParagraph"/>
        <w:numPr>
          <w:ilvl w:val="0"/>
          <w:numId w:val="1"/>
        </w:numPr>
        <w:rPr>
          <w:rFonts w:ascii="Microsoft PhagsPa" w:hAnsi="Microsoft PhagsPa" w:cs="Gisha"/>
        </w:rPr>
      </w:pPr>
      <w:r w:rsidRPr="00FE2D17">
        <w:rPr>
          <w:rFonts w:ascii="Microsoft PhagsPa" w:hAnsi="Microsoft PhagsPa" w:cs="Gisha"/>
        </w:rPr>
        <w:t>Spot techniques writers use to get ideas/feelings/themes across and explain how they work</w:t>
      </w:r>
    </w:p>
    <w:p w:rsidR="00E7613F" w:rsidRPr="00FE2D17" w:rsidRDefault="00E7613F" w:rsidP="00E7613F">
      <w:pPr>
        <w:pStyle w:val="ListParagraph"/>
        <w:numPr>
          <w:ilvl w:val="0"/>
          <w:numId w:val="1"/>
        </w:numPr>
        <w:rPr>
          <w:rFonts w:ascii="Microsoft PhagsPa" w:hAnsi="Microsoft PhagsPa" w:cs="Gisha"/>
        </w:rPr>
      </w:pPr>
      <w:r w:rsidRPr="00FE2D17">
        <w:rPr>
          <w:rFonts w:ascii="Microsoft PhagsPa" w:hAnsi="Microsoft PhagsPa" w:cs="Gisha"/>
        </w:rPr>
        <w:t xml:space="preserve">Judge whether or not the writer’s techniques succeed or fail </w:t>
      </w:r>
    </w:p>
    <w:p w:rsidR="00E7613F" w:rsidRPr="00FE2D17" w:rsidRDefault="00E7613F" w:rsidP="00E7613F">
      <w:pPr>
        <w:pStyle w:val="ListParagraph"/>
        <w:numPr>
          <w:ilvl w:val="0"/>
          <w:numId w:val="1"/>
        </w:numPr>
        <w:rPr>
          <w:rFonts w:ascii="Microsoft PhagsPa" w:hAnsi="Microsoft PhagsPa" w:cs="Gisha"/>
        </w:rPr>
      </w:pPr>
      <w:r w:rsidRPr="00FE2D17">
        <w:rPr>
          <w:rFonts w:ascii="Microsoft PhagsPa" w:hAnsi="Microsoft PhagsPa" w:cs="Gisha"/>
        </w:rPr>
        <w:t>Compare and contrast writing techniques</w:t>
      </w:r>
    </w:p>
    <w:p w:rsidR="005C4D82" w:rsidRPr="00FE2D17" w:rsidRDefault="005C4D82" w:rsidP="005C4D82">
      <w:pPr>
        <w:rPr>
          <w:rFonts w:ascii="Microsoft PhagsPa" w:hAnsi="Microsoft PhagsPa" w:cs="Gisha"/>
          <w:b/>
        </w:rPr>
      </w:pPr>
      <w:r w:rsidRPr="00FE2D17">
        <w:rPr>
          <w:rFonts w:ascii="Microsoft PhagsPa" w:hAnsi="Microsoft PhagsPa" w:cs="Gisha"/>
          <w:b/>
        </w:rPr>
        <w:t>How to Do a Close Reading</w:t>
      </w:r>
    </w:p>
    <w:tbl>
      <w:tblPr>
        <w:tblStyle w:val="TableGrid"/>
        <w:tblW w:w="0" w:type="auto"/>
        <w:tblLook w:val="04A0"/>
      </w:tblPr>
      <w:tblGrid>
        <w:gridCol w:w="1638"/>
        <w:gridCol w:w="7938"/>
      </w:tblGrid>
      <w:tr w:rsidR="005C4D82" w:rsidRPr="00FE2D17" w:rsidTr="009F5689">
        <w:tc>
          <w:tcPr>
            <w:tcW w:w="1638" w:type="dxa"/>
            <w:vAlign w:val="center"/>
          </w:tcPr>
          <w:p w:rsidR="005C4D82" w:rsidRPr="00FE2D17" w:rsidRDefault="005C4D82" w:rsidP="009F5689">
            <w:pPr>
              <w:jc w:val="center"/>
              <w:rPr>
                <w:rFonts w:ascii="Microsoft PhagsPa" w:hAnsi="Microsoft PhagsPa" w:cs="Gisha"/>
                <w:b/>
              </w:rPr>
            </w:pPr>
            <w:r w:rsidRPr="00FE2D17">
              <w:rPr>
                <w:rFonts w:ascii="Microsoft PhagsPa" w:hAnsi="Microsoft PhagsPa" w:cs="Gisha"/>
                <w:b/>
              </w:rPr>
              <w:t>1</w:t>
            </w:r>
            <w:r w:rsidRPr="00FE2D17">
              <w:rPr>
                <w:rFonts w:ascii="Microsoft PhagsPa" w:hAnsi="Microsoft PhagsPa" w:cs="Gisha"/>
                <w:b/>
                <w:vertAlign w:val="superscript"/>
              </w:rPr>
              <w:t>st</w:t>
            </w:r>
            <w:r w:rsidRPr="00FE2D17">
              <w:rPr>
                <w:rFonts w:ascii="Microsoft PhagsPa" w:hAnsi="Microsoft PhagsPa" w:cs="Gisha"/>
                <w:b/>
              </w:rPr>
              <w:t xml:space="preserve"> Reading</w:t>
            </w:r>
          </w:p>
        </w:tc>
        <w:tc>
          <w:tcPr>
            <w:tcW w:w="7938" w:type="dxa"/>
          </w:tcPr>
          <w:p w:rsidR="005C4D82" w:rsidRPr="00FE2D17" w:rsidRDefault="005C4D82" w:rsidP="005C4D82">
            <w:pPr>
              <w:rPr>
                <w:rFonts w:ascii="Microsoft PhagsPa" w:hAnsi="Microsoft PhagsPa" w:cs="Gisha"/>
              </w:rPr>
            </w:pPr>
            <w:r w:rsidRPr="00FE2D17">
              <w:rPr>
                <w:rFonts w:ascii="Microsoft PhagsPa" w:hAnsi="Microsoft PhagsPa" w:cs="Gisha"/>
              </w:rPr>
              <w:t>Just read!  Determine the general meaning of the text.  Make annotations to help your understanding of the text.  Summarize sections, underline important terms and names, etc., define unfamiliar vocabulary, and ask questions.</w:t>
            </w:r>
          </w:p>
        </w:tc>
      </w:tr>
      <w:tr w:rsidR="005C4D82" w:rsidRPr="00FE2D17" w:rsidTr="009F5689">
        <w:tc>
          <w:tcPr>
            <w:tcW w:w="1638" w:type="dxa"/>
            <w:vAlign w:val="center"/>
          </w:tcPr>
          <w:p w:rsidR="005C4D82" w:rsidRPr="00FE2D17" w:rsidRDefault="005C4D82" w:rsidP="009F5689">
            <w:pPr>
              <w:jc w:val="center"/>
              <w:rPr>
                <w:rFonts w:ascii="Microsoft PhagsPa" w:hAnsi="Microsoft PhagsPa" w:cs="Gisha"/>
                <w:b/>
              </w:rPr>
            </w:pPr>
            <w:r w:rsidRPr="00FE2D17">
              <w:rPr>
                <w:rFonts w:ascii="Microsoft PhagsPa" w:hAnsi="Microsoft PhagsPa" w:cs="Gisha"/>
                <w:b/>
              </w:rPr>
              <w:t>2</w:t>
            </w:r>
            <w:r w:rsidRPr="00FE2D17">
              <w:rPr>
                <w:rFonts w:ascii="Microsoft PhagsPa" w:hAnsi="Microsoft PhagsPa" w:cs="Gisha"/>
                <w:b/>
                <w:vertAlign w:val="superscript"/>
              </w:rPr>
              <w:t>nd</w:t>
            </w:r>
            <w:r w:rsidRPr="00FE2D17">
              <w:rPr>
                <w:rFonts w:ascii="Microsoft PhagsPa" w:hAnsi="Microsoft PhagsPa" w:cs="Gisha"/>
                <w:b/>
              </w:rPr>
              <w:t xml:space="preserve"> Reading</w:t>
            </w:r>
          </w:p>
        </w:tc>
        <w:tc>
          <w:tcPr>
            <w:tcW w:w="7938" w:type="dxa"/>
          </w:tcPr>
          <w:p w:rsidR="005C4D82" w:rsidRPr="00FE2D17" w:rsidRDefault="005C4D82" w:rsidP="005C4D82">
            <w:pPr>
              <w:rPr>
                <w:rFonts w:ascii="Microsoft PhagsPa" w:hAnsi="Microsoft PhagsPa" w:cs="Gisha"/>
              </w:rPr>
            </w:pPr>
            <w:r w:rsidRPr="00FE2D17">
              <w:rPr>
                <w:rFonts w:ascii="Microsoft PhagsPa" w:hAnsi="Microsoft PhagsPa" w:cs="Gisha"/>
              </w:rPr>
              <w:t>Examine the author’s writing techniques and methods.  This is when you look for literary devices, the text structure, and the author’s craft, and then you determine how those writing techniques create meaning,</w:t>
            </w:r>
          </w:p>
        </w:tc>
      </w:tr>
      <w:tr w:rsidR="005C4D82" w:rsidRPr="00FE2D17" w:rsidTr="009F5689">
        <w:tc>
          <w:tcPr>
            <w:tcW w:w="1638" w:type="dxa"/>
            <w:vAlign w:val="center"/>
          </w:tcPr>
          <w:p w:rsidR="005C4D82" w:rsidRPr="00FE2D17" w:rsidRDefault="005C4D82" w:rsidP="009F5689">
            <w:pPr>
              <w:jc w:val="center"/>
              <w:rPr>
                <w:rFonts w:ascii="Microsoft PhagsPa" w:hAnsi="Microsoft PhagsPa" w:cs="Gisha"/>
                <w:b/>
              </w:rPr>
            </w:pPr>
            <w:r w:rsidRPr="00FE2D17">
              <w:rPr>
                <w:rFonts w:ascii="Microsoft PhagsPa" w:hAnsi="Microsoft PhagsPa" w:cs="Gisha"/>
                <w:b/>
              </w:rPr>
              <w:t>3</w:t>
            </w:r>
            <w:r w:rsidRPr="00FE2D17">
              <w:rPr>
                <w:rFonts w:ascii="Microsoft PhagsPa" w:hAnsi="Microsoft PhagsPa" w:cs="Gisha"/>
                <w:b/>
                <w:vertAlign w:val="superscript"/>
              </w:rPr>
              <w:t>rd</w:t>
            </w:r>
            <w:r w:rsidRPr="00FE2D17">
              <w:rPr>
                <w:rFonts w:ascii="Microsoft PhagsPa" w:hAnsi="Microsoft PhagsPa" w:cs="Gisha"/>
                <w:b/>
              </w:rPr>
              <w:t xml:space="preserve"> Reading</w:t>
            </w:r>
          </w:p>
        </w:tc>
        <w:tc>
          <w:tcPr>
            <w:tcW w:w="7938" w:type="dxa"/>
          </w:tcPr>
          <w:p w:rsidR="005C4D82" w:rsidRPr="00FE2D17" w:rsidRDefault="005C4D82" w:rsidP="005C4D82">
            <w:pPr>
              <w:rPr>
                <w:rFonts w:ascii="Microsoft PhagsPa" w:hAnsi="Microsoft PhagsPa" w:cs="Gisha"/>
              </w:rPr>
            </w:pPr>
            <w:r w:rsidRPr="00FE2D17">
              <w:rPr>
                <w:rFonts w:ascii="Microsoft PhagsPa" w:hAnsi="Microsoft PhagsPa" w:cs="Gisha"/>
              </w:rPr>
              <w:t>This is when you make conclusions about the text using the techniques and methods from yo</w:t>
            </w:r>
            <w:bookmarkStart w:id="0" w:name="_GoBack"/>
            <w:bookmarkEnd w:id="0"/>
            <w:r w:rsidRPr="00FE2D17">
              <w:rPr>
                <w:rFonts w:ascii="Microsoft PhagsPa" w:hAnsi="Microsoft PhagsPa" w:cs="Gisha"/>
              </w:rPr>
              <w:t>ur 2</w:t>
            </w:r>
            <w:r w:rsidRPr="00FE2D17">
              <w:rPr>
                <w:rFonts w:ascii="Microsoft PhagsPa" w:hAnsi="Microsoft PhagsPa" w:cs="Gisha"/>
                <w:vertAlign w:val="superscript"/>
              </w:rPr>
              <w:t>nd</w:t>
            </w:r>
            <w:r w:rsidRPr="00FE2D17">
              <w:rPr>
                <w:rFonts w:ascii="Microsoft PhagsPa" w:hAnsi="Microsoft PhagsPa" w:cs="Gisha"/>
              </w:rPr>
              <w:t xml:space="preserve"> reading as textual evidence.  You will address the theme and/or the tone, and evaluate the text as a whole.  This is also the time to make connections within the text itself and with other texts.</w:t>
            </w:r>
          </w:p>
        </w:tc>
      </w:tr>
    </w:tbl>
    <w:p w:rsidR="005C4D82" w:rsidRPr="00FE2D17" w:rsidRDefault="005C4D82" w:rsidP="005C4D82">
      <w:pPr>
        <w:rPr>
          <w:rFonts w:ascii="Microsoft PhagsPa" w:hAnsi="Microsoft PhagsPa" w:cs="Gisha"/>
        </w:rPr>
      </w:pPr>
    </w:p>
    <w:sectPr w:rsidR="005C4D82" w:rsidRPr="00FE2D17" w:rsidSect="00067D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Gisha">
    <w:panose1 w:val="020B0502040204020203"/>
    <w:charset w:val="00"/>
    <w:family w:val="swiss"/>
    <w:pitch w:val="variable"/>
    <w:sig w:usb0="80000807" w:usb1="40000042" w:usb2="00000000" w:usb3="00000000" w:csb0="00000021"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458C2"/>
    <w:multiLevelType w:val="hybridMultilevel"/>
    <w:tmpl w:val="B25AD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E7613F"/>
    <w:rsid w:val="00067DF9"/>
    <w:rsid w:val="005C4D82"/>
    <w:rsid w:val="009F5689"/>
    <w:rsid w:val="00D9532E"/>
    <w:rsid w:val="00E7613F"/>
    <w:rsid w:val="00FE2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D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13F"/>
    <w:pPr>
      <w:ind w:left="720"/>
      <w:contextualSpacing/>
    </w:pPr>
  </w:style>
  <w:style w:type="table" w:styleId="TableGrid">
    <w:name w:val="Table Grid"/>
    <w:basedOn w:val="TableNormal"/>
    <w:uiPriority w:val="59"/>
    <w:rsid w:val="005C4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13F"/>
    <w:pPr>
      <w:ind w:left="720"/>
      <w:contextualSpacing/>
    </w:pPr>
  </w:style>
  <w:style w:type="table" w:styleId="TableGrid">
    <w:name w:val="Table Grid"/>
    <w:basedOn w:val="TableNormal"/>
    <w:uiPriority w:val="59"/>
    <w:rsid w:val="005C4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 Turner</dc:creator>
  <cp:lastModifiedBy>Duff</cp:lastModifiedBy>
  <cp:revision>2</cp:revision>
  <dcterms:created xsi:type="dcterms:W3CDTF">2015-01-15T14:43:00Z</dcterms:created>
  <dcterms:modified xsi:type="dcterms:W3CDTF">2015-07-07T18:45:00Z</dcterms:modified>
</cp:coreProperties>
</file>